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72" w:rsidRPr="00152658" w:rsidRDefault="00BF4C72" w:rsidP="00BF4C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2658">
        <w:rPr>
          <w:rFonts w:ascii="Arial" w:hAnsi="Arial" w:cs="Arial"/>
          <w:b/>
          <w:sz w:val="28"/>
          <w:szCs w:val="28"/>
          <w:u w:val="single"/>
        </w:rPr>
        <w:t>Título VI Procedimiento de Q</w:t>
      </w:r>
      <w:r w:rsidR="00B400CB" w:rsidRPr="00152658">
        <w:rPr>
          <w:rFonts w:ascii="Arial" w:hAnsi="Arial" w:cs="Arial"/>
          <w:b/>
          <w:sz w:val="28"/>
          <w:szCs w:val="28"/>
          <w:u w:val="single"/>
        </w:rPr>
        <w:t>ueja</w:t>
      </w:r>
    </w:p>
    <w:p w:rsidR="00B400CB" w:rsidRDefault="00BF4C72" w:rsidP="00B4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400CB">
        <w:rPr>
          <w:rFonts w:ascii="Arial" w:hAnsi="Arial" w:cs="Arial"/>
          <w:sz w:val="28"/>
          <w:szCs w:val="28"/>
        </w:rPr>
        <w:t>ara poder cumplir con 49 CFR Sección 21.9 (b), el siguiente procedimiento de queja se</w:t>
      </w:r>
      <w:r w:rsidR="00582AA2">
        <w:rPr>
          <w:rFonts w:ascii="Arial" w:hAnsi="Arial" w:cs="Arial"/>
          <w:sz w:val="28"/>
          <w:szCs w:val="28"/>
        </w:rPr>
        <w:t>ra seguido por DRC</w:t>
      </w:r>
      <w:r w:rsidR="00B400CB">
        <w:rPr>
          <w:rFonts w:ascii="Arial" w:hAnsi="Arial" w:cs="Arial"/>
          <w:sz w:val="28"/>
          <w:szCs w:val="28"/>
        </w:rPr>
        <w:t>, en caso de que cualquier persona que cree que él o ella, individualmente o como miembro de cualquier clase específica de las personas, se ha excluido de la participación, ha negado los beneficios de, o sido objeto de discriminación por motivos de raza, color, origen nacional, sexo, edad, orientación sexual, discapacidad o nivel de ingresos, en relación con:</w:t>
      </w:r>
    </w:p>
    <w:p w:rsidR="00BF4C72" w:rsidRPr="00BF4C72" w:rsidRDefault="00BF4C72" w:rsidP="00B400CB">
      <w:pPr>
        <w:rPr>
          <w:rFonts w:ascii="Arial" w:hAnsi="Arial" w:cs="Arial"/>
          <w:sz w:val="16"/>
          <w:szCs w:val="16"/>
        </w:rPr>
      </w:pPr>
    </w:p>
    <w:p w:rsidR="00BF4C72" w:rsidRDefault="00B400CB" w:rsidP="00BF4C7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F4C72">
        <w:rPr>
          <w:rFonts w:ascii="Arial" w:hAnsi="Arial" w:cs="Arial"/>
          <w:sz w:val="28"/>
          <w:szCs w:val="28"/>
        </w:rPr>
        <w:t xml:space="preserve">La disponibilidad y la distribución equitativa de los servicios de entrenamiento de movilidad y beneficios; </w:t>
      </w:r>
    </w:p>
    <w:p w:rsidR="00BF4C72" w:rsidRDefault="00B400CB" w:rsidP="00BF4C7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F4C72">
        <w:rPr>
          <w:rFonts w:ascii="Arial" w:hAnsi="Arial" w:cs="Arial"/>
          <w:sz w:val="28"/>
          <w:szCs w:val="28"/>
        </w:rPr>
        <w:t xml:space="preserve">El nivel y la calidad de los servicios de entrenamiento de movilidad que son suficientes para proporcionar igualdad de acceso y movilidad para todas las personas;   </w:t>
      </w:r>
    </w:p>
    <w:p w:rsidR="00BF4C72" w:rsidRDefault="00B400CB" w:rsidP="00BF4C7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F4C72">
        <w:rPr>
          <w:rFonts w:ascii="Arial" w:hAnsi="Arial" w:cs="Arial"/>
          <w:sz w:val="28"/>
          <w:szCs w:val="28"/>
        </w:rPr>
        <w:t xml:space="preserve">La oportunidad de participar en la planificación de entrenamiento de movilidad y los procesos de toma de decisiones; y </w:t>
      </w:r>
    </w:p>
    <w:p w:rsidR="00B400CB" w:rsidRPr="00BF4C72" w:rsidRDefault="00582AA2" w:rsidP="00BF4C7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F4C72">
        <w:rPr>
          <w:rFonts w:ascii="Arial" w:hAnsi="Arial" w:cs="Arial"/>
          <w:sz w:val="28"/>
          <w:szCs w:val="28"/>
        </w:rPr>
        <w:t>El</w:t>
      </w:r>
      <w:r w:rsidR="00B400CB" w:rsidRPr="00BF4C72">
        <w:rPr>
          <w:rFonts w:ascii="Arial" w:hAnsi="Arial" w:cs="Arial"/>
          <w:sz w:val="28"/>
          <w:szCs w:val="28"/>
        </w:rPr>
        <w:t xml:space="preserve"> derecho a decisiones justas en </w:t>
      </w:r>
      <w:r w:rsidR="00BF4C72">
        <w:rPr>
          <w:rFonts w:ascii="Arial" w:hAnsi="Arial" w:cs="Arial"/>
          <w:sz w:val="28"/>
          <w:szCs w:val="28"/>
        </w:rPr>
        <w:t xml:space="preserve">el lugar de entrenamiento de la </w:t>
      </w:r>
      <w:r w:rsidR="00B400CB" w:rsidRPr="00BF4C72">
        <w:rPr>
          <w:rFonts w:ascii="Arial" w:hAnsi="Arial" w:cs="Arial"/>
          <w:sz w:val="28"/>
          <w:szCs w:val="28"/>
        </w:rPr>
        <w:t>movilidad.</w:t>
      </w:r>
    </w:p>
    <w:p w:rsidR="00B400CB" w:rsidRDefault="00B400CB" w:rsidP="00B4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procedimientos</w:t>
      </w:r>
      <w:r w:rsidR="005C2AA9">
        <w:rPr>
          <w:rFonts w:ascii="Arial" w:hAnsi="Arial" w:cs="Arial"/>
          <w:sz w:val="28"/>
          <w:szCs w:val="28"/>
        </w:rPr>
        <w:t xml:space="preserve"> de queja son publicados en la página w</w:t>
      </w:r>
      <w:r>
        <w:rPr>
          <w:rFonts w:ascii="Arial" w:hAnsi="Arial" w:cs="Arial"/>
          <w:sz w:val="28"/>
          <w:szCs w:val="28"/>
        </w:rPr>
        <w:t xml:space="preserve">eb de </w:t>
      </w:r>
      <w:r w:rsidR="00D625D8">
        <w:rPr>
          <w:rFonts w:ascii="Arial" w:hAnsi="Arial" w:cs="Arial"/>
          <w:sz w:val="28"/>
          <w:szCs w:val="28"/>
        </w:rPr>
        <w:t xml:space="preserve">DRC. </w:t>
      </w:r>
      <w:r>
        <w:rPr>
          <w:rFonts w:ascii="Arial" w:hAnsi="Arial" w:cs="Arial"/>
          <w:sz w:val="28"/>
          <w:szCs w:val="28"/>
        </w:rPr>
        <w:t>Además, los procedimientos de queja pueden leers</w:t>
      </w:r>
      <w:r w:rsidR="00D625D8">
        <w:rPr>
          <w:rFonts w:ascii="Arial" w:hAnsi="Arial" w:cs="Arial"/>
          <w:sz w:val="28"/>
          <w:szCs w:val="28"/>
        </w:rPr>
        <w:t xml:space="preserve">e en español y en letra grande. </w:t>
      </w:r>
      <w:r>
        <w:rPr>
          <w:rFonts w:ascii="Arial" w:hAnsi="Arial" w:cs="Arial"/>
          <w:sz w:val="28"/>
          <w:szCs w:val="28"/>
        </w:rPr>
        <w:t xml:space="preserve">Si la queja </w:t>
      </w:r>
      <w:r w:rsidR="00D625D8">
        <w:rPr>
          <w:rFonts w:ascii="Arial" w:hAnsi="Arial" w:cs="Arial"/>
          <w:sz w:val="28"/>
          <w:szCs w:val="28"/>
        </w:rPr>
        <w:t>es echa en la oficina</w:t>
      </w:r>
      <w:r>
        <w:rPr>
          <w:rFonts w:ascii="Arial" w:hAnsi="Arial" w:cs="Arial"/>
          <w:sz w:val="28"/>
          <w:szCs w:val="28"/>
        </w:rPr>
        <w:t xml:space="preserve"> </w:t>
      </w:r>
      <w:r w:rsidR="00D625D8">
        <w:rPr>
          <w:rFonts w:ascii="Arial" w:hAnsi="Arial" w:cs="Arial"/>
          <w:sz w:val="28"/>
          <w:szCs w:val="28"/>
        </w:rPr>
        <w:t>DRC</w:t>
      </w:r>
      <w:r>
        <w:rPr>
          <w:rFonts w:ascii="Arial" w:hAnsi="Arial" w:cs="Arial"/>
          <w:sz w:val="28"/>
          <w:szCs w:val="28"/>
        </w:rPr>
        <w:t xml:space="preserve">, el demandante </w:t>
      </w:r>
      <w:r w:rsidR="00D625D8">
        <w:rPr>
          <w:rFonts w:ascii="Arial" w:hAnsi="Arial" w:cs="Arial"/>
          <w:sz w:val="28"/>
          <w:szCs w:val="28"/>
        </w:rPr>
        <w:t>puede</w:t>
      </w:r>
      <w:r>
        <w:rPr>
          <w:rFonts w:ascii="Arial" w:hAnsi="Arial" w:cs="Arial"/>
          <w:sz w:val="28"/>
          <w:szCs w:val="28"/>
        </w:rPr>
        <w:t xml:space="preserve"> utilizar el prog</w:t>
      </w:r>
      <w:r w:rsidR="00D625D8">
        <w:rPr>
          <w:rFonts w:ascii="Arial" w:hAnsi="Arial" w:cs="Arial"/>
          <w:sz w:val="28"/>
          <w:szCs w:val="28"/>
        </w:rPr>
        <w:t xml:space="preserve">rama JAWS para </w:t>
      </w:r>
      <w:proofErr w:type="gramStart"/>
      <w:r w:rsidR="00D625D8">
        <w:rPr>
          <w:rFonts w:ascii="Arial" w:hAnsi="Arial" w:cs="Arial"/>
          <w:sz w:val="28"/>
          <w:szCs w:val="28"/>
        </w:rPr>
        <w:t>persons</w:t>
      </w:r>
      <w:proofErr w:type="gramEnd"/>
      <w:r w:rsidR="00D625D8">
        <w:rPr>
          <w:rFonts w:ascii="Arial" w:hAnsi="Arial" w:cs="Arial"/>
          <w:sz w:val="28"/>
          <w:szCs w:val="28"/>
        </w:rPr>
        <w:t xml:space="preserve"> que no pueden ver. </w:t>
      </w:r>
      <w:r>
        <w:rPr>
          <w:rFonts w:ascii="Arial" w:hAnsi="Arial" w:cs="Arial"/>
          <w:sz w:val="28"/>
          <w:szCs w:val="28"/>
        </w:rPr>
        <w:t>Además, los procedimientos d</w:t>
      </w:r>
      <w:r w:rsidR="00D625D8">
        <w:rPr>
          <w:rFonts w:ascii="Arial" w:hAnsi="Arial" w:cs="Arial"/>
          <w:sz w:val="28"/>
          <w:szCs w:val="28"/>
        </w:rPr>
        <w:t xml:space="preserve">e queja se traducirá en Khmer. </w:t>
      </w:r>
      <w:r>
        <w:rPr>
          <w:rFonts w:ascii="Arial" w:hAnsi="Arial" w:cs="Arial"/>
          <w:sz w:val="28"/>
          <w:szCs w:val="28"/>
        </w:rPr>
        <w:t>Si es necesario, los procedimientos de queja pueden traducirse en otros idiomas.</w:t>
      </w:r>
    </w:p>
    <w:p w:rsidR="00BF4C72" w:rsidRDefault="00B400CB" w:rsidP="00B4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Cualquier persona que cree que él o ella ha sido discriminado en base </w:t>
      </w:r>
      <w:r w:rsidR="00F23FF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a </w:t>
      </w:r>
      <w:r w:rsidRPr="00BF4C72">
        <w:rPr>
          <w:rFonts w:ascii="Arial" w:hAnsi="Arial" w:cs="Arial"/>
          <w:sz w:val="28"/>
          <w:szCs w:val="28"/>
          <w:u w:val="single"/>
        </w:rPr>
        <w:t>edad, sexo, orientación sexual, discapacidad, nivel de ingresos,</w:t>
      </w:r>
      <w:r>
        <w:rPr>
          <w:rFonts w:ascii="Arial" w:hAnsi="Arial" w:cs="Arial"/>
          <w:sz w:val="28"/>
          <w:szCs w:val="28"/>
        </w:rPr>
        <w:t xml:space="preserve"> raza, color u origen nacional </w:t>
      </w:r>
      <w:r w:rsidR="008B5C64">
        <w:rPr>
          <w:rFonts w:ascii="Arial" w:hAnsi="Arial" w:cs="Arial"/>
          <w:sz w:val="28"/>
          <w:szCs w:val="28"/>
        </w:rPr>
        <w:t xml:space="preserve">por DRC puede presentar una queja de Título VI </w:t>
      </w:r>
      <w:r>
        <w:rPr>
          <w:rFonts w:ascii="Arial" w:hAnsi="Arial" w:cs="Arial"/>
          <w:sz w:val="28"/>
          <w:szCs w:val="28"/>
        </w:rPr>
        <w:t>llenando y en</w:t>
      </w:r>
      <w:r w:rsidR="00145398">
        <w:rPr>
          <w:rFonts w:ascii="Arial" w:hAnsi="Arial" w:cs="Arial"/>
          <w:sz w:val="28"/>
          <w:szCs w:val="28"/>
        </w:rPr>
        <w:t>tregando el formulario de queja de</w:t>
      </w:r>
      <w:r>
        <w:rPr>
          <w:rFonts w:ascii="Arial" w:hAnsi="Arial" w:cs="Arial"/>
          <w:sz w:val="28"/>
          <w:szCs w:val="28"/>
        </w:rPr>
        <w:t xml:space="preserve"> </w:t>
      </w:r>
      <w:r w:rsidR="008B5C64">
        <w:rPr>
          <w:rFonts w:ascii="Arial" w:hAnsi="Arial" w:cs="Arial"/>
          <w:sz w:val="28"/>
          <w:szCs w:val="28"/>
        </w:rPr>
        <w:t>DRC T</w:t>
      </w:r>
      <w:r>
        <w:rPr>
          <w:rFonts w:ascii="Arial" w:hAnsi="Arial" w:cs="Arial"/>
          <w:sz w:val="28"/>
          <w:szCs w:val="28"/>
        </w:rPr>
        <w:t xml:space="preserve">ítulo VI.  </w:t>
      </w:r>
      <w:r w:rsidR="00145398">
        <w:rPr>
          <w:rFonts w:ascii="Arial" w:hAnsi="Arial" w:cs="Arial"/>
          <w:sz w:val="28"/>
          <w:szCs w:val="28"/>
        </w:rPr>
        <w:t>DRC investiga denuncias recibidas no más de</w:t>
      </w:r>
      <w:r>
        <w:rPr>
          <w:rFonts w:ascii="Arial" w:hAnsi="Arial" w:cs="Arial"/>
          <w:sz w:val="28"/>
          <w:szCs w:val="28"/>
        </w:rPr>
        <w:t xml:space="preserve"> 180 días después del supuesto incidente.  </w:t>
      </w:r>
      <w:r w:rsidR="00145398">
        <w:rPr>
          <w:rFonts w:ascii="Arial" w:hAnsi="Arial" w:cs="Arial"/>
          <w:sz w:val="28"/>
          <w:szCs w:val="28"/>
        </w:rPr>
        <w:t>DRC</w:t>
      </w:r>
      <w:r>
        <w:rPr>
          <w:rFonts w:ascii="Arial" w:hAnsi="Arial" w:cs="Arial"/>
          <w:sz w:val="28"/>
          <w:szCs w:val="28"/>
        </w:rPr>
        <w:t xml:space="preserve"> procesará las quejas que están completas.</w:t>
      </w:r>
    </w:p>
    <w:p w:rsidR="00B400CB" w:rsidRDefault="00B400CB" w:rsidP="00B4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vez recibida la denuncia, </w:t>
      </w:r>
      <w:r w:rsidR="00145398">
        <w:rPr>
          <w:rFonts w:ascii="Arial" w:hAnsi="Arial" w:cs="Arial"/>
          <w:sz w:val="28"/>
          <w:szCs w:val="28"/>
        </w:rPr>
        <w:t>DRC investiga</w:t>
      </w:r>
      <w:r>
        <w:rPr>
          <w:rFonts w:ascii="Arial" w:hAnsi="Arial" w:cs="Arial"/>
          <w:sz w:val="28"/>
          <w:szCs w:val="28"/>
        </w:rPr>
        <w:t xml:space="preserve"> para determinar si nuestra oficina tie</w:t>
      </w:r>
      <w:r w:rsidR="00527AB2">
        <w:rPr>
          <w:rFonts w:ascii="Arial" w:hAnsi="Arial" w:cs="Arial"/>
          <w:sz w:val="28"/>
          <w:szCs w:val="28"/>
        </w:rPr>
        <w:t>ne jurisdicción.  Usted recibirá</w:t>
      </w:r>
      <w:r>
        <w:rPr>
          <w:rFonts w:ascii="Arial" w:hAnsi="Arial" w:cs="Arial"/>
          <w:sz w:val="28"/>
          <w:szCs w:val="28"/>
        </w:rPr>
        <w:t xml:space="preserve"> una carta de reconocimiento </w:t>
      </w:r>
      <w:r w:rsidR="00527AB2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>le informa</w:t>
      </w:r>
      <w:r w:rsidR="00527AB2">
        <w:rPr>
          <w:rFonts w:ascii="Arial" w:hAnsi="Arial" w:cs="Arial"/>
          <w:sz w:val="28"/>
          <w:szCs w:val="28"/>
        </w:rPr>
        <w:t>ra</w:t>
      </w:r>
      <w:r>
        <w:rPr>
          <w:rFonts w:ascii="Arial" w:hAnsi="Arial" w:cs="Arial"/>
          <w:sz w:val="28"/>
          <w:szCs w:val="28"/>
        </w:rPr>
        <w:t xml:space="preserve"> si la queja será investigada por nuestra oficina.</w:t>
      </w:r>
    </w:p>
    <w:p w:rsidR="00F23FFF" w:rsidRDefault="00BF4C72" w:rsidP="00B4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DRC</w:t>
      </w:r>
      <w:r w:rsidR="00B400CB">
        <w:rPr>
          <w:rFonts w:ascii="Arial" w:hAnsi="Arial" w:cs="Arial"/>
          <w:sz w:val="28"/>
          <w:szCs w:val="28"/>
        </w:rPr>
        <w:t xml:space="preserve"> tiene 30 días para investigar la </w:t>
      </w:r>
      <w:r w:rsidR="00527AB2">
        <w:rPr>
          <w:rFonts w:ascii="Arial" w:hAnsi="Arial" w:cs="Arial"/>
          <w:sz w:val="28"/>
          <w:szCs w:val="28"/>
        </w:rPr>
        <w:t>denuncia.  Si necesitamos</w:t>
      </w:r>
      <w:r w:rsidR="00B400CB">
        <w:rPr>
          <w:rFonts w:ascii="Arial" w:hAnsi="Arial" w:cs="Arial"/>
          <w:sz w:val="28"/>
          <w:szCs w:val="28"/>
        </w:rPr>
        <w:t xml:space="preserve"> más información para resolver el caso, </w:t>
      </w:r>
      <w:r w:rsidR="00527AB2">
        <w:rPr>
          <w:rFonts w:ascii="Arial" w:hAnsi="Arial" w:cs="Arial"/>
          <w:sz w:val="28"/>
          <w:szCs w:val="28"/>
        </w:rPr>
        <w:t>DRC</w:t>
      </w:r>
      <w:r w:rsidR="00B400CB">
        <w:rPr>
          <w:rFonts w:ascii="Arial" w:hAnsi="Arial" w:cs="Arial"/>
          <w:sz w:val="28"/>
          <w:szCs w:val="28"/>
        </w:rPr>
        <w:t xml:space="preserve"> puede comunicarse con el demandante.  </w:t>
      </w:r>
    </w:p>
    <w:p w:rsidR="00B400CB" w:rsidRDefault="00B400CB" w:rsidP="00B4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El </w:t>
      </w:r>
      <w:r w:rsidR="005C2AA9">
        <w:rPr>
          <w:rFonts w:ascii="Arial" w:hAnsi="Arial" w:cs="Arial"/>
          <w:sz w:val="28"/>
          <w:szCs w:val="28"/>
        </w:rPr>
        <w:t>demandante tiene 30 días</w:t>
      </w:r>
      <w:r>
        <w:rPr>
          <w:rFonts w:ascii="Arial" w:hAnsi="Arial" w:cs="Arial"/>
          <w:sz w:val="28"/>
          <w:szCs w:val="28"/>
        </w:rPr>
        <w:t xml:space="preserve"> desde la </w:t>
      </w:r>
      <w:r w:rsidR="005C2AA9">
        <w:rPr>
          <w:rFonts w:ascii="Arial" w:hAnsi="Arial" w:cs="Arial"/>
          <w:sz w:val="28"/>
          <w:szCs w:val="28"/>
        </w:rPr>
        <w:t>fecha de la carta para enviar mas información solicitada por el</w:t>
      </w:r>
      <w:r>
        <w:rPr>
          <w:rFonts w:ascii="Arial" w:hAnsi="Arial" w:cs="Arial"/>
          <w:sz w:val="28"/>
          <w:szCs w:val="28"/>
        </w:rPr>
        <w:t xml:space="preserve"> investigador asigna</w:t>
      </w:r>
      <w:r w:rsidR="005C2AA9">
        <w:rPr>
          <w:rFonts w:ascii="Arial" w:hAnsi="Arial" w:cs="Arial"/>
          <w:sz w:val="28"/>
          <w:szCs w:val="28"/>
        </w:rPr>
        <w:t xml:space="preserve">do al caso. </w:t>
      </w:r>
      <w:r>
        <w:rPr>
          <w:rFonts w:ascii="Arial" w:hAnsi="Arial" w:cs="Arial"/>
          <w:sz w:val="28"/>
          <w:szCs w:val="28"/>
        </w:rPr>
        <w:t xml:space="preserve">Si el investigador no es contactado por el </w:t>
      </w:r>
      <w:r w:rsidR="005C2AA9">
        <w:rPr>
          <w:rFonts w:ascii="Arial" w:hAnsi="Arial" w:cs="Arial"/>
          <w:sz w:val="28"/>
          <w:szCs w:val="28"/>
        </w:rPr>
        <w:t>demandante</w:t>
      </w:r>
      <w:r>
        <w:rPr>
          <w:rFonts w:ascii="Arial" w:hAnsi="Arial" w:cs="Arial"/>
          <w:sz w:val="28"/>
          <w:szCs w:val="28"/>
        </w:rPr>
        <w:t xml:space="preserve"> o no recibir la información adicional dentro de </w:t>
      </w:r>
      <w:r w:rsidR="005C2AA9">
        <w:rPr>
          <w:rFonts w:ascii="Arial" w:hAnsi="Arial" w:cs="Arial"/>
          <w:sz w:val="28"/>
          <w:szCs w:val="28"/>
        </w:rPr>
        <w:t>los 30 días</w:t>
      </w:r>
      <w:r>
        <w:rPr>
          <w:rFonts w:ascii="Arial" w:hAnsi="Arial" w:cs="Arial"/>
          <w:sz w:val="28"/>
          <w:szCs w:val="28"/>
        </w:rPr>
        <w:t>,</w:t>
      </w:r>
      <w:r w:rsidR="005C2AA9">
        <w:rPr>
          <w:rFonts w:ascii="Arial" w:hAnsi="Arial" w:cs="Arial"/>
          <w:sz w:val="28"/>
          <w:szCs w:val="28"/>
        </w:rPr>
        <w:t xml:space="preserve"> DRC</w:t>
      </w:r>
      <w:r>
        <w:rPr>
          <w:rFonts w:ascii="Arial" w:hAnsi="Arial" w:cs="Arial"/>
          <w:sz w:val="28"/>
          <w:szCs w:val="28"/>
        </w:rPr>
        <w:t xml:space="preserve"> puede cerrar el caso.  Un caso </w:t>
      </w:r>
      <w:r w:rsidR="005C2AA9">
        <w:rPr>
          <w:rFonts w:ascii="Arial" w:hAnsi="Arial" w:cs="Arial"/>
          <w:sz w:val="28"/>
          <w:szCs w:val="28"/>
        </w:rPr>
        <w:t xml:space="preserve">también </w:t>
      </w:r>
      <w:r>
        <w:rPr>
          <w:rFonts w:ascii="Arial" w:hAnsi="Arial" w:cs="Arial"/>
          <w:sz w:val="28"/>
          <w:szCs w:val="28"/>
        </w:rPr>
        <w:t>puede se</w:t>
      </w:r>
      <w:r w:rsidR="005C2AA9">
        <w:rPr>
          <w:rFonts w:ascii="Arial" w:hAnsi="Arial" w:cs="Arial"/>
          <w:sz w:val="28"/>
          <w:szCs w:val="28"/>
        </w:rPr>
        <w:t xml:space="preserve">r cerrado </w:t>
      </w:r>
      <w:r>
        <w:rPr>
          <w:rFonts w:ascii="Arial" w:hAnsi="Arial" w:cs="Arial"/>
          <w:sz w:val="28"/>
          <w:szCs w:val="28"/>
        </w:rPr>
        <w:t xml:space="preserve">si el demandante ya no desea </w:t>
      </w:r>
      <w:r w:rsidR="005C2AA9">
        <w:rPr>
          <w:rFonts w:ascii="Arial" w:hAnsi="Arial" w:cs="Arial"/>
          <w:sz w:val="28"/>
          <w:szCs w:val="28"/>
        </w:rPr>
        <w:t>continuar con</w:t>
      </w:r>
      <w:r>
        <w:rPr>
          <w:rFonts w:ascii="Arial" w:hAnsi="Arial" w:cs="Arial"/>
          <w:sz w:val="28"/>
          <w:szCs w:val="28"/>
        </w:rPr>
        <w:t xml:space="preserve"> su caso.</w:t>
      </w:r>
    </w:p>
    <w:p w:rsidR="00B400CB" w:rsidRDefault="00B400CB" w:rsidP="00B4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Después de que el investigador </w:t>
      </w:r>
      <w:r w:rsidR="00304912">
        <w:rPr>
          <w:rFonts w:ascii="Arial" w:hAnsi="Arial" w:cs="Arial"/>
          <w:sz w:val="28"/>
          <w:szCs w:val="28"/>
        </w:rPr>
        <w:t>revise</w:t>
      </w:r>
      <w:r>
        <w:rPr>
          <w:rFonts w:ascii="Arial" w:hAnsi="Arial" w:cs="Arial"/>
          <w:sz w:val="28"/>
          <w:szCs w:val="28"/>
        </w:rPr>
        <w:t xml:space="preserve"> la queja</w:t>
      </w:r>
      <w:r w:rsidR="00F23FFF">
        <w:rPr>
          <w:rFonts w:ascii="Arial" w:hAnsi="Arial" w:cs="Arial"/>
          <w:sz w:val="28"/>
          <w:szCs w:val="28"/>
        </w:rPr>
        <w:t xml:space="preserve">, él o </w:t>
      </w:r>
      <w:r>
        <w:rPr>
          <w:rFonts w:ascii="Arial" w:hAnsi="Arial" w:cs="Arial"/>
          <w:sz w:val="28"/>
          <w:szCs w:val="28"/>
        </w:rPr>
        <w:t xml:space="preserve">ella emitirá uno de dos cartas al demandante: una carta de cierre o una carta de </w:t>
      </w:r>
      <w:r w:rsidR="00F23FFF">
        <w:rPr>
          <w:rFonts w:ascii="Arial" w:hAnsi="Arial" w:cs="Arial"/>
          <w:sz w:val="28"/>
          <w:szCs w:val="28"/>
        </w:rPr>
        <w:t>Letter of F</w:t>
      </w:r>
      <w:r w:rsidR="00304912">
        <w:rPr>
          <w:rFonts w:ascii="Arial" w:hAnsi="Arial" w:cs="Arial"/>
          <w:sz w:val="28"/>
          <w:szCs w:val="28"/>
        </w:rPr>
        <w:t>inding</w:t>
      </w:r>
      <w:r>
        <w:rPr>
          <w:rFonts w:ascii="Arial" w:hAnsi="Arial" w:cs="Arial"/>
          <w:sz w:val="28"/>
          <w:szCs w:val="28"/>
        </w:rPr>
        <w:t xml:space="preserve"> (LOF).  Una carta de cierre resume las acusaciones y afirma</w:t>
      </w:r>
      <w:r w:rsidR="00304912">
        <w:rPr>
          <w:rFonts w:ascii="Arial" w:hAnsi="Arial" w:cs="Arial"/>
          <w:sz w:val="28"/>
          <w:szCs w:val="28"/>
        </w:rPr>
        <w:t xml:space="preserve"> que no hubo una violación del T</w:t>
      </w:r>
      <w:r>
        <w:rPr>
          <w:rFonts w:ascii="Arial" w:hAnsi="Arial" w:cs="Arial"/>
          <w:sz w:val="28"/>
          <w:szCs w:val="28"/>
        </w:rPr>
        <w:t xml:space="preserve">ítulo </w:t>
      </w:r>
      <w:r w:rsidR="00304912">
        <w:rPr>
          <w:rFonts w:ascii="Arial" w:hAnsi="Arial" w:cs="Arial"/>
          <w:sz w:val="28"/>
          <w:szCs w:val="28"/>
        </w:rPr>
        <w:t xml:space="preserve">VI y que el caso será cerrado. </w:t>
      </w:r>
      <w:r>
        <w:rPr>
          <w:rFonts w:ascii="Arial" w:hAnsi="Arial" w:cs="Arial"/>
          <w:sz w:val="28"/>
          <w:szCs w:val="28"/>
        </w:rPr>
        <w:t>Un</w:t>
      </w:r>
      <w:r w:rsidR="0030491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8C35B4">
        <w:rPr>
          <w:rFonts w:ascii="Arial" w:hAnsi="Arial" w:cs="Arial"/>
          <w:sz w:val="28"/>
          <w:szCs w:val="28"/>
        </w:rPr>
        <w:t>carta LOF</w:t>
      </w:r>
      <w:r w:rsidR="003049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resume las denuncias y las entrevistas sobre el</w:t>
      </w:r>
      <w:r w:rsidR="00304912">
        <w:rPr>
          <w:rFonts w:ascii="Arial" w:hAnsi="Arial" w:cs="Arial"/>
          <w:sz w:val="28"/>
          <w:szCs w:val="28"/>
        </w:rPr>
        <w:t xml:space="preserve"> presunto incidente y explica</w:t>
      </w:r>
      <w:r>
        <w:rPr>
          <w:rFonts w:ascii="Arial" w:hAnsi="Arial" w:cs="Arial"/>
          <w:sz w:val="28"/>
          <w:szCs w:val="28"/>
        </w:rPr>
        <w:t xml:space="preserve"> cualquier acción disciplinaria, </w:t>
      </w:r>
      <w:r w:rsidR="008C35B4">
        <w:rPr>
          <w:rFonts w:ascii="Arial" w:hAnsi="Arial" w:cs="Arial"/>
          <w:sz w:val="28"/>
          <w:szCs w:val="28"/>
        </w:rPr>
        <w:t>o si la persona va a nesesitar</w:t>
      </w:r>
      <w:r w:rsidR="003049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entrenami</w:t>
      </w:r>
      <w:r w:rsidR="008C35B4">
        <w:rPr>
          <w:rFonts w:ascii="Arial" w:hAnsi="Arial" w:cs="Arial"/>
          <w:sz w:val="28"/>
          <w:szCs w:val="28"/>
        </w:rPr>
        <w:t>ento adicional, o si</w:t>
      </w:r>
      <w:r>
        <w:rPr>
          <w:rFonts w:ascii="Arial" w:hAnsi="Arial" w:cs="Arial"/>
          <w:sz w:val="28"/>
          <w:szCs w:val="28"/>
        </w:rPr>
        <w:t xml:space="preserve"> otra acción oc</w:t>
      </w:r>
      <w:r w:rsidR="008C35B4">
        <w:rPr>
          <w:rFonts w:ascii="Arial" w:hAnsi="Arial" w:cs="Arial"/>
          <w:sz w:val="28"/>
          <w:szCs w:val="28"/>
        </w:rPr>
        <w:t xml:space="preserve">urrirá. </w:t>
      </w:r>
      <w:r>
        <w:rPr>
          <w:rFonts w:ascii="Arial" w:hAnsi="Arial" w:cs="Arial"/>
          <w:sz w:val="28"/>
          <w:szCs w:val="28"/>
        </w:rPr>
        <w:t>Si el demandan</w:t>
      </w:r>
      <w:r w:rsidR="00F23FFF">
        <w:rPr>
          <w:rFonts w:ascii="Arial" w:hAnsi="Arial" w:cs="Arial"/>
          <w:sz w:val="28"/>
          <w:szCs w:val="28"/>
        </w:rPr>
        <w:t xml:space="preserve">te desea apelar la decisión, él o </w:t>
      </w:r>
      <w:r>
        <w:rPr>
          <w:rFonts w:ascii="Arial" w:hAnsi="Arial" w:cs="Arial"/>
          <w:sz w:val="28"/>
          <w:szCs w:val="28"/>
        </w:rPr>
        <w:t>ella tiene 30 días después de la fecha de</w:t>
      </w:r>
      <w:r w:rsidR="008C35B4">
        <w:rPr>
          <w:rFonts w:ascii="Arial" w:hAnsi="Arial" w:cs="Arial"/>
          <w:sz w:val="28"/>
          <w:szCs w:val="28"/>
        </w:rPr>
        <w:t xml:space="preserve">l caso </w:t>
      </w:r>
      <w:r w:rsidR="0040200B">
        <w:rPr>
          <w:rFonts w:ascii="Arial" w:hAnsi="Arial" w:cs="Arial"/>
          <w:sz w:val="28"/>
          <w:szCs w:val="28"/>
        </w:rPr>
        <w:t>c</w:t>
      </w:r>
      <w:r w:rsidR="008C35B4">
        <w:rPr>
          <w:rFonts w:ascii="Arial" w:hAnsi="Arial" w:cs="Arial"/>
          <w:sz w:val="28"/>
          <w:szCs w:val="28"/>
        </w:rPr>
        <w:t>er</w:t>
      </w:r>
      <w:r w:rsidR="00F23FFF">
        <w:rPr>
          <w:rFonts w:ascii="Arial" w:hAnsi="Arial" w:cs="Arial"/>
          <w:sz w:val="28"/>
          <w:szCs w:val="28"/>
        </w:rPr>
        <w:t>r</w:t>
      </w:r>
      <w:r w:rsidR="008C35B4">
        <w:rPr>
          <w:rFonts w:ascii="Arial" w:hAnsi="Arial" w:cs="Arial"/>
          <w:sz w:val="28"/>
          <w:szCs w:val="28"/>
        </w:rPr>
        <w:t>ádo</w:t>
      </w:r>
      <w:r>
        <w:rPr>
          <w:rFonts w:ascii="Arial" w:hAnsi="Arial" w:cs="Arial"/>
          <w:sz w:val="28"/>
          <w:szCs w:val="28"/>
        </w:rPr>
        <w:t xml:space="preserve"> o el LOF para hacerlo.</w:t>
      </w:r>
    </w:p>
    <w:p w:rsidR="00B400CB" w:rsidRDefault="00B400CB" w:rsidP="00976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persona también puede presentar una queja directamente ant</w:t>
      </w:r>
      <w:r w:rsidR="0040200B">
        <w:rPr>
          <w:rFonts w:ascii="Arial" w:hAnsi="Arial" w:cs="Arial"/>
          <w:sz w:val="28"/>
          <w:szCs w:val="28"/>
        </w:rPr>
        <w:t xml:space="preserve">e el Federal Transit Administration, en FTA </w:t>
      </w:r>
      <w:bookmarkStart w:id="0" w:name="_GoBack"/>
      <w:bookmarkEnd w:id="0"/>
      <w:r w:rsidR="009764BF">
        <w:rPr>
          <w:rFonts w:ascii="Arial" w:hAnsi="Arial" w:cs="Arial"/>
          <w:sz w:val="28"/>
          <w:szCs w:val="28"/>
        </w:rPr>
        <w:t>Oficina de Derechos Civiles, A</w:t>
      </w:r>
      <w:r w:rsidR="009764BF" w:rsidRPr="00594E11">
        <w:rPr>
          <w:rFonts w:ascii="Arial" w:hAnsi="Arial" w:cs="Arial"/>
          <w:sz w:val="28"/>
          <w:szCs w:val="28"/>
        </w:rPr>
        <w:t>tención: Coordina</w:t>
      </w:r>
      <w:r w:rsidR="009764BF">
        <w:rPr>
          <w:rFonts w:ascii="Arial" w:hAnsi="Arial" w:cs="Arial"/>
          <w:sz w:val="28"/>
          <w:szCs w:val="28"/>
        </w:rPr>
        <w:t>dor del P</w:t>
      </w:r>
      <w:r w:rsidR="009764BF" w:rsidRPr="00594E11">
        <w:rPr>
          <w:rFonts w:ascii="Arial" w:hAnsi="Arial" w:cs="Arial"/>
          <w:sz w:val="28"/>
          <w:szCs w:val="28"/>
        </w:rPr>
        <w:t xml:space="preserve">rograma Título VI, </w:t>
      </w:r>
      <w:r w:rsidR="009764BF">
        <w:rPr>
          <w:rFonts w:ascii="Arial" w:hAnsi="Arial" w:cs="Arial"/>
          <w:sz w:val="28"/>
          <w:szCs w:val="28"/>
        </w:rPr>
        <w:t>Region IX, San Francisco Federal Building, 90, 7</w:t>
      </w:r>
      <w:r w:rsidR="009764BF" w:rsidRPr="008424E1">
        <w:rPr>
          <w:rFonts w:ascii="Arial" w:hAnsi="Arial" w:cs="Arial"/>
          <w:sz w:val="28"/>
          <w:szCs w:val="28"/>
          <w:vertAlign w:val="superscript"/>
        </w:rPr>
        <w:t>th</w:t>
      </w:r>
      <w:r w:rsidR="009764BF">
        <w:rPr>
          <w:rFonts w:ascii="Arial" w:hAnsi="Arial" w:cs="Arial"/>
          <w:sz w:val="28"/>
          <w:szCs w:val="28"/>
        </w:rPr>
        <w:t xml:space="preserve"> Street, Suite 15-300, San Francisco, CA 94103.</w:t>
      </w:r>
    </w:p>
    <w:p w:rsidR="00152658" w:rsidRDefault="00B400CB" w:rsidP="00B4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siguiente documento es la forma de queja, en inglés.   El documento se traducirán al español y Khmer, conforme</w:t>
      </w:r>
      <w:r w:rsidR="0040200B">
        <w:rPr>
          <w:rFonts w:ascii="Arial" w:hAnsi="Arial" w:cs="Arial"/>
          <w:sz w:val="28"/>
          <w:szCs w:val="28"/>
        </w:rPr>
        <w:t xml:space="preserve"> al</w:t>
      </w:r>
      <w:r>
        <w:rPr>
          <w:rFonts w:ascii="Arial" w:hAnsi="Arial" w:cs="Arial"/>
          <w:sz w:val="28"/>
          <w:szCs w:val="28"/>
        </w:rPr>
        <w:t xml:space="preserve"> LEP de </w:t>
      </w:r>
      <w:r w:rsidR="0040200B">
        <w:rPr>
          <w:rFonts w:ascii="Arial" w:hAnsi="Arial" w:cs="Arial"/>
          <w:sz w:val="28"/>
          <w:szCs w:val="28"/>
        </w:rPr>
        <w:t xml:space="preserve">las </w:t>
      </w:r>
      <w:r>
        <w:rPr>
          <w:rFonts w:ascii="Arial" w:hAnsi="Arial" w:cs="Arial"/>
          <w:sz w:val="28"/>
          <w:szCs w:val="28"/>
        </w:rPr>
        <w:t>áreas geográf</w:t>
      </w:r>
      <w:r w:rsidR="00BF4C72">
        <w:rPr>
          <w:rFonts w:ascii="Arial" w:hAnsi="Arial" w:cs="Arial"/>
          <w:sz w:val="28"/>
          <w:szCs w:val="28"/>
        </w:rPr>
        <w:t>icas ate</w:t>
      </w:r>
      <w:r w:rsidR="0040200B">
        <w:rPr>
          <w:rFonts w:ascii="Arial" w:hAnsi="Arial" w:cs="Arial"/>
          <w:sz w:val="28"/>
          <w:szCs w:val="28"/>
        </w:rPr>
        <w:t>ndidas por</w:t>
      </w:r>
      <w:r w:rsidR="00BF4C72">
        <w:rPr>
          <w:rFonts w:ascii="Arial" w:hAnsi="Arial" w:cs="Arial"/>
          <w:sz w:val="28"/>
          <w:szCs w:val="28"/>
        </w:rPr>
        <w:t xml:space="preserve"> DRC</w:t>
      </w:r>
      <w:r>
        <w:rPr>
          <w:rFonts w:ascii="Arial" w:hAnsi="Arial" w:cs="Arial"/>
          <w:sz w:val="28"/>
          <w:szCs w:val="28"/>
        </w:rPr>
        <w:t>.  Si es necesario, los</w:t>
      </w:r>
      <w:r w:rsidR="0040200B">
        <w:rPr>
          <w:rFonts w:ascii="Arial" w:hAnsi="Arial" w:cs="Arial"/>
          <w:sz w:val="28"/>
          <w:szCs w:val="28"/>
        </w:rPr>
        <w:t xml:space="preserve"> procedimientos de queja pueden </w:t>
      </w:r>
      <w:r>
        <w:rPr>
          <w:rFonts w:ascii="Arial" w:hAnsi="Arial" w:cs="Arial"/>
          <w:sz w:val="28"/>
          <w:szCs w:val="28"/>
        </w:rPr>
        <w:t xml:space="preserve">traducirse en otros idiomas.  </w:t>
      </w:r>
    </w:p>
    <w:p w:rsidR="00B400CB" w:rsidRDefault="00B400CB" w:rsidP="00B4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B400CB" w:rsidRPr="00152658" w:rsidRDefault="00B400CB" w:rsidP="00B400CB">
      <w:pPr>
        <w:rPr>
          <w:rFonts w:ascii="Arial" w:hAnsi="Arial" w:cs="Arial"/>
          <w:b/>
          <w:sz w:val="28"/>
          <w:szCs w:val="28"/>
          <w:u w:val="single"/>
        </w:rPr>
      </w:pPr>
      <w:r w:rsidRPr="00152658">
        <w:rPr>
          <w:rFonts w:ascii="Arial" w:hAnsi="Arial" w:cs="Arial"/>
          <w:b/>
          <w:sz w:val="28"/>
          <w:szCs w:val="28"/>
          <w:u w:val="single"/>
        </w:rPr>
        <w:t xml:space="preserve">Si necesita </w:t>
      </w:r>
      <w:r w:rsidR="00152658">
        <w:rPr>
          <w:rFonts w:ascii="Arial" w:hAnsi="Arial" w:cs="Arial"/>
          <w:b/>
          <w:sz w:val="28"/>
          <w:szCs w:val="28"/>
          <w:u w:val="single"/>
        </w:rPr>
        <w:t xml:space="preserve">mas </w:t>
      </w:r>
      <w:r w:rsidRPr="00152658">
        <w:rPr>
          <w:rFonts w:ascii="Arial" w:hAnsi="Arial" w:cs="Arial"/>
          <w:b/>
          <w:sz w:val="28"/>
          <w:szCs w:val="28"/>
          <w:u w:val="single"/>
        </w:rPr>
        <w:t>información en otro idioma, llame al 562-427-1000.</w:t>
      </w:r>
    </w:p>
    <w:sectPr w:rsidR="00B400CB" w:rsidRPr="00152658" w:rsidSect="00BF4C72"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3A52"/>
    <w:multiLevelType w:val="hybridMultilevel"/>
    <w:tmpl w:val="53C8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50844"/>
    <w:multiLevelType w:val="hybridMultilevel"/>
    <w:tmpl w:val="8DBCE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0E7EC7"/>
    <w:multiLevelType w:val="hybridMultilevel"/>
    <w:tmpl w:val="E1D2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6"/>
    <w:rsid w:val="0013156B"/>
    <w:rsid w:val="00145398"/>
    <w:rsid w:val="00152658"/>
    <w:rsid w:val="00304912"/>
    <w:rsid w:val="0040200B"/>
    <w:rsid w:val="00527AB2"/>
    <w:rsid w:val="00582AA2"/>
    <w:rsid w:val="005C2AA9"/>
    <w:rsid w:val="00611610"/>
    <w:rsid w:val="008B5C64"/>
    <w:rsid w:val="008C35B4"/>
    <w:rsid w:val="009764BF"/>
    <w:rsid w:val="00AD10AA"/>
    <w:rsid w:val="00B400CB"/>
    <w:rsid w:val="00BF4C72"/>
    <w:rsid w:val="00C12865"/>
    <w:rsid w:val="00C4661E"/>
    <w:rsid w:val="00CC1776"/>
    <w:rsid w:val="00D625D8"/>
    <w:rsid w:val="00F2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8D80D-7FCE-4BC8-8EAD-46BC736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Thomas</dc:creator>
  <cp:lastModifiedBy>Gail Thomas</cp:lastModifiedBy>
  <cp:revision>3</cp:revision>
  <cp:lastPrinted>2014-08-22T15:21:00Z</cp:lastPrinted>
  <dcterms:created xsi:type="dcterms:W3CDTF">2017-03-01T17:19:00Z</dcterms:created>
  <dcterms:modified xsi:type="dcterms:W3CDTF">2019-06-04T15:41:00Z</dcterms:modified>
</cp:coreProperties>
</file>